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3" w:rsidRPr="008D3251" w:rsidRDefault="00BB6343" w:rsidP="00BB6343">
      <w:pPr>
        <w:tabs>
          <w:tab w:val="left" w:pos="3696"/>
        </w:tabs>
        <w:spacing w:before="120" w:after="120"/>
        <w:jc w:val="center"/>
        <w:rPr>
          <w:b/>
          <w:sz w:val="28"/>
          <w:szCs w:val="28"/>
        </w:rPr>
      </w:pPr>
      <w:r w:rsidRPr="008D3251">
        <w:rPr>
          <w:b/>
          <w:sz w:val="28"/>
          <w:szCs w:val="28"/>
        </w:rPr>
        <w:t xml:space="preserve">   Пр</w:t>
      </w:r>
      <w:bookmarkStart w:id="0" w:name="_GoBack"/>
      <w:bookmarkEnd w:id="0"/>
      <w:r w:rsidRPr="008D3251">
        <w:rPr>
          <w:b/>
          <w:sz w:val="28"/>
          <w:szCs w:val="28"/>
        </w:rPr>
        <w:t>ограмма курсов повышения квалификации</w:t>
      </w:r>
    </w:p>
    <w:p w:rsidR="00BB6343" w:rsidRPr="008D3251" w:rsidRDefault="00BB6343" w:rsidP="00BB6343">
      <w:pPr>
        <w:tabs>
          <w:tab w:val="left" w:pos="3696"/>
        </w:tabs>
        <w:jc w:val="both"/>
        <w:rPr>
          <w:b/>
          <w:color w:val="800000"/>
          <w:sz w:val="28"/>
          <w:szCs w:val="28"/>
          <w:u w:val="single"/>
        </w:rPr>
      </w:pPr>
      <w:r w:rsidRPr="008D3251">
        <w:rPr>
          <w:b/>
          <w:color w:val="800000"/>
          <w:sz w:val="28"/>
          <w:szCs w:val="28"/>
          <w:u w:val="single"/>
        </w:rPr>
        <w:t>29 марта</w:t>
      </w:r>
    </w:p>
    <w:p w:rsidR="00BB6343" w:rsidRPr="008D3251" w:rsidRDefault="00BB6343" w:rsidP="00BB6343">
      <w:pPr>
        <w:tabs>
          <w:tab w:val="left" w:pos="3696"/>
        </w:tabs>
        <w:jc w:val="both"/>
        <w:rPr>
          <w:b/>
          <w:color w:val="8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8083"/>
      </w:tblGrid>
      <w:tr w:rsidR="00BB6343" w:rsidRPr="008D3251" w:rsidTr="00C60364">
        <w:tc>
          <w:tcPr>
            <w:tcW w:w="1488" w:type="dxa"/>
            <w:vMerge w:val="restart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t>10.00-11.30</w:t>
            </w: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t>11.40-13.10</w:t>
            </w:r>
          </w:p>
        </w:tc>
        <w:tc>
          <w:tcPr>
            <w:tcW w:w="8083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6"/>
                <w:szCs w:val="26"/>
              </w:rPr>
              <w:t>Статистические основы оценивания неопределенности измерений. Термины и определения.</w:t>
            </w:r>
          </w:p>
        </w:tc>
      </w:tr>
      <w:tr w:rsidR="00BB6343" w:rsidRPr="008D3251" w:rsidTr="00C60364">
        <w:tc>
          <w:tcPr>
            <w:tcW w:w="1488" w:type="dxa"/>
            <w:vMerge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</w:tc>
        <w:tc>
          <w:tcPr>
            <w:tcW w:w="8083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6"/>
                <w:szCs w:val="26"/>
              </w:rPr>
              <w:t>Анализ требований нормативно-технической документации по оцениванию неопределенности измерений.</w:t>
            </w:r>
          </w:p>
        </w:tc>
      </w:tr>
      <w:tr w:rsidR="00BB6343" w:rsidRPr="008D3251" w:rsidTr="00C60364">
        <w:tc>
          <w:tcPr>
            <w:tcW w:w="1488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2"/>
                <w:szCs w:val="20"/>
              </w:rPr>
              <w:t>13.10-13.30</w:t>
            </w:r>
          </w:p>
        </w:tc>
        <w:tc>
          <w:tcPr>
            <w:tcW w:w="8083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  <w:rPr>
                <w:i/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 xml:space="preserve">                                    </w:t>
            </w:r>
            <w:r w:rsidRPr="008D3251">
              <w:rPr>
                <w:i/>
                <w:sz w:val="26"/>
                <w:szCs w:val="26"/>
              </w:rPr>
              <w:t>ПЕРЕРЫВ</w:t>
            </w:r>
          </w:p>
        </w:tc>
      </w:tr>
      <w:tr w:rsidR="00BB6343" w:rsidRPr="008D3251" w:rsidTr="00C60364">
        <w:tc>
          <w:tcPr>
            <w:tcW w:w="1488" w:type="dxa"/>
            <w:vMerge w:val="restart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t>13.30-15.00</w:t>
            </w: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t>15.10-16.40</w:t>
            </w:r>
          </w:p>
        </w:tc>
        <w:tc>
          <w:tcPr>
            <w:tcW w:w="8083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6"/>
                <w:szCs w:val="26"/>
              </w:rPr>
              <w:t>Принципы модельного подхода к оценке неопределённости измерений. Источники неопределённости измерений.</w:t>
            </w:r>
          </w:p>
        </w:tc>
      </w:tr>
      <w:tr w:rsidR="00BB6343" w:rsidRPr="008D3251" w:rsidTr="00C60364">
        <w:tc>
          <w:tcPr>
            <w:tcW w:w="1488" w:type="dxa"/>
            <w:vMerge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</w:tc>
        <w:tc>
          <w:tcPr>
            <w:tcW w:w="8083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bCs/>
                <w:sz w:val="26"/>
                <w:szCs w:val="26"/>
              </w:rPr>
              <w:t xml:space="preserve">Базовый алгоритм оценивания неопределённости в измерениях. Определение неопределённости в относительных величинах. Недостатки базового алгоритма </w:t>
            </w:r>
            <w:r w:rsidRPr="008D3251">
              <w:rPr>
                <w:bCs/>
                <w:sz w:val="26"/>
                <w:szCs w:val="26"/>
                <w:lang w:val="en-US"/>
              </w:rPr>
              <w:t>GUM</w:t>
            </w:r>
            <w:r w:rsidRPr="008D3251">
              <w:rPr>
                <w:bCs/>
                <w:sz w:val="26"/>
                <w:szCs w:val="26"/>
              </w:rPr>
              <w:t>.</w:t>
            </w:r>
          </w:p>
        </w:tc>
      </w:tr>
    </w:tbl>
    <w:p w:rsidR="00BB6343" w:rsidRPr="008D3251" w:rsidRDefault="00BB6343" w:rsidP="00BB6343">
      <w:pPr>
        <w:tabs>
          <w:tab w:val="left" w:pos="3696"/>
        </w:tabs>
        <w:jc w:val="both"/>
        <w:rPr>
          <w:rFonts w:eastAsia="TimesNewRoman"/>
          <w:b/>
          <w:color w:val="800000"/>
          <w:sz w:val="28"/>
          <w:szCs w:val="28"/>
          <w:u w:val="single"/>
        </w:rPr>
      </w:pPr>
    </w:p>
    <w:p w:rsidR="00BB6343" w:rsidRPr="008D3251" w:rsidRDefault="00BB6343" w:rsidP="00BB6343">
      <w:pPr>
        <w:tabs>
          <w:tab w:val="left" w:pos="3696"/>
        </w:tabs>
        <w:jc w:val="both"/>
        <w:rPr>
          <w:rFonts w:eastAsia="TimesNewRoman"/>
          <w:b/>
          <w:color w:val="800000"/>
          <w:sz w:val="28"/>
          <w:szCs w:val="28"/>
          <w:u w:val="single"/>
        </w:rPr>
      </w:pPr>
      <w:r w:rsidRPr="008D3251">
        <w:rPr>
          <w:rFonts w:eastAsia="TimesNewRoman"/>
          <w:b/>
          <w:color w:val="800000"/>
          <w:sz w:val="28"/>
          <w:szCs w:val="28"/>
          <w:u w:val="single"/>
        </w:rPr>
        <w:t>30 марта</w:t>
      </w:r>
    </w:p>
    <w:p w:rsidR="00BB6343" w:rsidRPr="008D3251" w:rsidRDefault="00BB6343" w:rsidP="00BB6343">
      <w:pPr>
        <w:tabs>
          <w:tab w:val="left" w:pos="3696"/>
        </w:tabs>
        <w:jc w:val="both"/>
        <w:rPr>
          <w:rFonts w:eastAsia="TimesNewRoman"/>
          <w:b/>
          <w:color w:val="8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8084"/>
      </w:tblGrid>
      <w:tr w:rsidR="00BB6343" w:rsidRPr="008D3251" w:rsidTr="00C60364">
        <w:tc>
          <w:tcPr>
            <w:tcW w:w="1487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t>10.00-11.30</w:t>
            </w:r>
          </w:p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</w:p>
        </w:tc>
        <w:tc>
          <w:tcPr>
            <w:tcW w:w="8084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bCs/>
                <w:sz w:val="26"/>
                <w:szCs w:val="26"/>
              </w:rPr>
              <w:t>Различные подходы к оценке неопределённости. Общие понятия о методе «Монте-Карло».</w:t>
            </w:r>
          </w:p>
        </w:tc>
      </w:tr>
      <w:tr w:rsidR="00BB6343" w:rsidRPr="008D3251" w:rsidTr="00C60364">
        <w:tc>
          <w:tcPr>
            <w:tcW w:w="1487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t>11.40-13.10</w:t>
            </w:r>
          </w:p>
        </w:tc>
        <w:tc>
          <w:tcPr>
            <w:tcW w:w="8084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6"/>
                <w:szCs w:val="26"/>
              </w:rPr>
              <w:t>Практика оценки неопределённости при калибровках.</w:t>
            </w:r>
          </w:p>
        </w:tc>
      </w:tr>
      <w:tr w:rsidR="00BB6343" w:rsidRPr="008D3251" w:rsidTr="00C60364">
        <w:tc>
          <w:tcPr>
            <w:tcW w:w="1487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2"/>
                <w:szCs w:val="20"/>
              </w:rPr>
              <w:t>13.10-13.30</w:t>
            </w:r>
          </w:p>
        </w:tc>
        <w:tc>
          <w:tcPr>
            <w:tcW w:w="8084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8D3251">
              <w:rPr>
                <w:i/>
                <w:sz w:val="26"/>
                <w:szCs w:val="26"/>
              </w:rPr>
              <w:t xml:space="preserve">                                   ПЕРЕРЫВ</w:t>
            </w:r>
          </w:p>
        </w:tc>
      </w:tr>
      <w:tr w:rsidR="00BB6343" w:rsidRPr="008D3251" w:rsidTr="00C60364">
        <w:tc>
          <w:tcPr>
            <w:tcW w:w="1487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</w:pPr>
            <w:r w:rsidRPr="008D3251">
              <w:rPr>
                <w:sz w:val="22"/>
                <w:szCs w:val="20"/>
              </w:rPr>
              <w:t>13.30-15.00</w:t>
            </w:r>
          </w:p>
        </w:tc>
        <w:tc>
          <w:tcPr>
            <w:tcW w:w="8084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Принципы модельного подхода к оценке неопределённости измерений. Источники неопределённости измерений.</w:t>
            </w:r>
          </w:p>
        </w:tc>
      </w:tr>
      <w:tr w:rsidR="00BB6343" w:rsidRPr="008D3251" w:rsidTr="00C60364">
        <w:tc>
          <w:tcPr>
            <w:tcW w:w="1487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  <w:rPr>
                <w:sz w:val="22"/>
                <w:szCs w:val="20"/>
              </w:rPr>
            </w:pPr>
            <w:r w:rsidRPr="008D3251">
              <w:rPr>
                <w:sz w:val="22"/>
                <w:szCs w:val="20"/>
              </w:rPr>
              <w:t>15.10-16.40</w:t>
            </w:r>
          </w:p>
        </w:tc>
        <w:tc>
          <w:tcPr>
            <w:tcW w:w="8084" w:type="dxa"/>
          </w:tcPr>
          <w:p w:rsidR="00BB6343" w:rsidRPr="008D3251" w:rsidRDefault="00BB6343" w:rsidP="00C6036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Круглый стол. Итоговый контроль. Консультации.</w:t>
            </w:r>
          </w:p>
        </w:tc>
      </w:tr>
    </w:tbl>
    <w:p w:rsidR="00BB6343" w:rsidRPr="008D3251" w:rsidRDefault="00BB6343" w:rsidP="00BB6343">
      <w:pPr>
        <w:tabs>
          <w:tab w:val="left" w:pos="3696"/>
        </w:tabs>
        <w:rPr>
          <w:sz w:val="26"/>
          <w:szCs w:val="26"/>
        </w:rPr>
      </w:pPr>
      <w:r w:rsidRPr="008D3251">
        <w:rPr>
          <w:sz w:val="26"/>
          <w:szCs w:val="26"/>
        </w:rPr>
        <w:t xml:space="preserve">                                     </w:t>
      </w:r>
    </w:p>
    <w:p w:rsidR="00BB6343" w:rsidRPr="00882D7A" w:rsidRDefault="00BB6343" w:rsidP="00BB6343">
      <w:pPr>
        <w:tabs>
          <w:tab w:val="left" w:pos="3696"/>
        </w:tabs>
        <w:rPr>
          <w:sz w:val="28"/>
          <w:szCs w:val="28"/>
        </w:rPr>
      </w:pPr>
      <w:r w:rsidRPr="00882D7A">
        <w:rPr>
          <w:sz w:val="28"/>
          <w:szCs w:val="28"/>
        </w:rPr>
        <w:t xml:space="preserve">      Кофе-брейки:  11-30:11-40</w:t>
      </w:r>
    </w:p>
    <w:p w:rsidR="00BB6343" w:rsidRPr="00882D7A" w:rsidRDefault="00BB6343" w:rsidP="00BB6343">
      <w:pPr>
        <w:tabs>
          <w:tab w:val="left" w:pos="3696"/>
        </w:tabs>
        <w:rPr>
          <w:sz w:val="28"/>
          <w:szCs w:val="28"/>
        </w:rPr>
      </w:pPr>
      <w:r w:rsidRPr="00882D7A">
        <w:rPr>
          <w:sz w:val="28"/>
          <w:szCs w:val="28"/>
        </w:rPr>
        <w:t xml:space="preserve">                                15-00:15-10</w:t>
      </w:r>
    </w:p>
    <w:p w:rsidR="00BB6343" w:rsidRPr="008D3251" w:rsidRDefault="00BB6343" w:rsidP="00BB6343">
      <w:pPr>
        <w:tabs>
          <w:tab w:val="left" w:pos="3696"/>
        </w:tabs>
        <w:rPr>
          <w:b/>
          <w:sz w:val="26"/>
          <w:szCs w:val="26"/>
        </w:rPr>
      </w:pPr>
      <w:r w:rsidRPr="00882D7A">
        <w:rPr>
          <w:sz w:val="28"/>
          <w:szCs w:val="28"/>
        </w:rPr>
        <w:t xml:space="preserve">      Перерыв:          13-10:13-30</w:t>
      </w:r>
      <w:r w:rsidRPr="008D3251">
        <w:rPr>
          <w:b/>
        </w:rPr>
        <w:t xml:space="preserve"> </w:t>
      </w:r>
      <w:r w:rsidRPr="008D3251">
        <w:rPr>
          <w:b/>
        </w:rPr>
        <w:tab/>
      </w:r>
      <w:r w:rsidRPr="008D3251">
        <w:tab/>
      </w:r>
      <w:r w:rsidRPr="008D3251">
        <w:tab/>
      </w:r>
      <w:r w:rsidRPr="008D3251">
        <w:tab/>
      </w:r>
      <w:r w:rsidRPr="008D3251">
        <w:tab/>
      </w:r>
      <w:r w:rsidRPr="008D3251">
        <w:tab/>
      </w:r>
    </w:p>
    <w:p w:rsidR="00DE26DC" w:rsidRDefault="00DE26DC"/>
    <w:sectPr w:rsidR="00D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BD"/>
    <w:rsid w:val="00961CBD"/>
    <w:rsid w:val="00BB6343"/>
    <w:rsid w:val="00D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2018-03-19T09:37:00Z</dcterms:created>
  <dcterms:modified xsi:type="dcterms:W3CDTF">2018-03-19T09:37:00Z</dcterms:modified>
</cp:coreProperties>
</file>