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62" w:rsidRDefault="00273A62">
      <w:pPr>
        <w:pStyle w:val="Standard"/>
        <w:spacing w:after="0" w:line="240" w:lineRule="auto"/>
        <w:jc w:val="both"/>
        <w:rPr>
          <w:rFonts w:ascii="Times New Roman" w:eastAsia="Times New Roman" w:hAnsi="Times New Roman"/>
          <w:sz w:val="24"/>
          <w:szCs w:val="24"/>
        </w:rPr>
      </w:pPr>
    </w:p>
    <w:p w:rsidR="00273A62" w:rsidRPr="0040183B" w:rsidRDefault="00273A62" w:rsidP="00273A62">
      <w:pPr>
        <w:jc w:val="center"/>
        <w:rPr>
          <w:rFonts w:ascii="Arial" w:eastAsia="Times New Roman" w:hAnsi="Arial" w:cs="Arial"/>
          <w:color w:val="4D3B63"/>
          <w:sz w:val="26"/>
          <w:szCs w:val="26"/>
        </w:rPr>
      </w:pPr>
      <w:r>
        <w:rPr>
          <w:rFonts w:eastAsia="Times New Roman"/>
        </w:rPr>
        <w:tab/>
      </w:r>
      <w:r>
        <w:rPr>
          <w:rFonts w:eastAsia="Times New Roman"/>
        </w:rPr>
        <w:tab/>
      </w:r>
      <w:r w:rsidRPr="0040183B">
        <w:rPr>
          <w:rFonts w:ascii="Arial" w:eastAsia="Times New Roman" w:hAnsi="Arial" w:cs="Arial"/>
          <w:b/>
          <w:color w:val="4D3B63"/>
          <w:sz w:val="26"/>
          <w:szCs w:val="26"/>
        </w:rPr>
        <w:t xml:space="preserve">                                           </w:t>
      </w:r>
      <w:r w:rsidR="0040183B" w:rsidRPr="0040183B">
        <w:rPr>
          <w:rFonts w:ascii="Arial" w:eastAsia="Times New Roman" w:hAnsi="Arial" w:cs="Arial"/>
          <w:b/>
          <w:color w:val="4D3B63"/>
          <w:sz w:val="26"/>
          <w:szCs w:val="26"/>
        </w:rPr>
        <w:t xml:space="preserve">                       </w:t>
      </w:r>
      <w:r w:rsidRPr="0040183B">
        <w:rPr>
          <w:rFonts w:ascii="Arial" w:eastAsia="Times New Roman" w:hAnsi="Arial" w:cs="Arial"/>
          <w:color w:val="4D3B63"/>
          <w:sz w:val="26"/>
          <w:szCs w:val="26"/>
        </w:rPr>
        <w:t>Приложение</w:t>
      </w:r>
      <w:r w:rsidR="00BB30B3" w:rsidRPr="0040183B">
        <w:rPr>
          <w:rFonts w:ascii="Arial" w:eastAsia="Times New Roman" w:hAnsi="Arial" w:cs="Arial"/>
          <w:color w:val="4D3B63"/>
          <w:sz w:val="26"/>
          <w:szCs w:val="26"/>
        </w:rPr>
        <w:t xml:space="preserve">     </w:t>
      </w:r>
    </w:p>
    <w:p w:rsidR="00273A62" w:rsidRPr="0040183B" w:rsidRDefault="0040183B" w:rsidP="00273A62">
      <w:pPr>
        <w:jc w:val="center"/>
        <w:rPr>
          <w:b/>
          <w:bCs/>
          <w:color w:val="4D3B63"/>
          <w:sz w:val="26"/>
          <w:szCs w:val="26"/>
        </w:rPr>
      </w:pPr>
      <w:r>
        <w:rPr>
          <w:rFonts w:eastAsia="Times New Roman"/>
          <w:b/>
          <w:color w:val="4D3B63"/>
          <w:sz w:val="26"/>
          <w:szCs w:val="26"/>
        </w:rPr>
        <w:t xml:space="preserve"> </w:t>
      </w:r>
      <w:r w:rsidRPr="0040183B">
        <w:rPr>
          <w:rFonts w:eastAsia="Times New Roman"/>
          <w:b/>
          <w:color w:val="4D3B63"/>
          <w:sz w:val="26"/>
          <w:szCs w:val="26"/>
        </w:rPr>
        <w:t xml:space="preserve">Программа </w:t>
      </w:r>
      <w:r w:rsidR="00BB30B3" w:rsidRPr="0040183B">
        <w:rPr>
          <w:rFonts w:eastAsia="Times New Roman"/>
          <w:b/>
          <w:color w:val="4D3B63"/>
          <w:sz w:val="26"/>
          <w:szCs w:val="26"/>
        </w:rPr>
        <w:t xml:space="preserve">  </w:t>
      </w:r>
      <w:r w:rsidR="00BB30B3" w:rsidRPr="0040183B">
        <w:rPr>
          <w:b/>
          <w:bCs/>
          <w:color w:val="4D3B63"/>
          <w:sz w:val="26"/>
          <w:szCs w:val="26"/>
        </w:rPr>
        <w:t xml:space="preserve">           </w:t>
      </w:r>
    </w:p>
    <w:p w:rsidR="00273A62" w:rsidRPr="0040183B" w:rsidRDefault="00BB30B3" w:rsidP="00273A62">
      <w:pPr>
        <w:jc w:val="center"/>
        <w:rPr>
          <w:rFonts w:eastAsia="Times New Roman" w:cs="Times New Roman"/>
          <w:b/>
          <w:color w:val="4D3B63"/>
          <w:kern w:val="0"/>
          <w:sz w:val="26"/>
          <w:szCs w:val="26"/>
        </w:rPr>
      </w:pPr>
      <w:r w:rsidRPr="0040183B">
        <w:rPr>
          <w:b/>
          <w:bCs/>
          <w:color w:val="4D3B63"/>
          <w:sz w:val="26"/>
          <w:szCs w:val="26"/>
        </w:rPr>
        <w:t xml:space="preserve">    </w:t>
      </w:r>
      <w:r w:rsidR="0040183B" w:rsidRPr="0040183B">
        <w:rPr>
          <w:b/>
          <w:bCs/>
          <w:color w:val="4D3B63"/>
          <w:sz w:val="26"/>
          <w:szCs w:val="26"/>
        </w:rPr>
        <w:t>к</w:t>
      </w:r>
      <w:r w:rsidR="00273A62" w:rsidRPr="0040183B">
        <w:rPr>
          <w:rFonts w:eastAsia="Times New Roman" w:cs="Times New Roman"/>
          <w:b/>
          <w:color w:val="4D3B63"/>
          <w:kern w:val="0"/>
          <w:sz w:val="26"/>
          <w:szCs w:val="26"/>
        </w:rPr>
        <w:t>урс</w:t>
      </w:r>
      <w:r w:rsidR="0040183B" w:rsidRPr="0040183B">
        <w:rPr>
          <w:rFonts w:eastAsia="Times New Roman" w:cs="Times New Roman"/>
          <w:b/>
          <w:color w:val="4D3B63"/>
          <w:kern w:val="0"/>
          <w:sz w:val="26"/>
          <w:szCs w:val="26"/>
        </w:rPr>
        <w:t>ов</w:t>
      </w:r>
      <w:r w:rsidR="00273A62" w:rsidRPr="0040183B">
        <w:rPr>
          <w:rFonts w:eastAsia="Times New Roman" w:cs="Times New Roman"/>
          <w:b/>
          <w:color w:val="4D3B63"/>
          <w:kern w:val="0"/>
          <w:sz w:val="26"/>
          <w:szCs w:val="26"/>
        </w:rPr>
        <w:t xml:space="preserve"> повышения квалификации</w:t>
      </w:r>
    </w:p>
    <w:p w:rsidR="00273A62" w:rsidRPr="0040183B" w:rsidRDefault="00273A62" w:rsidP="00273A62">
      <w:pPr>
        <w:widowControl/>
        <w:suppressAutoHyphens w:val="0"/>
        <w:autoSpaceDE w:val="0"/>
        <w:adjustRightInd w:val="0"/>
        <w:jc w:val="center"/>
        <w:textAlignment w:val="auto"/>
        <w:rPr>
          <w:rFonts w:eastAsia="TimesNewRoman,Bold" w:cs="Times New Roman"/>
          <w:b/>
          <w:bCs/>
          <w:color w:val="4D3B63"/>
          <w:kern w:val="0"/>
          <w:sz w:val="26"/>
          <w:szCs w:val="26"/>
        </w:rPr>
      </w:pPr>
      <w:r w:rsidRPr="0040183B">
        <w:rPr>
          <w:rFonts w:eastAsia="TimesNewRoman,Bold" w:cs="Times New Roman"/>
          <w:b/>
          <w:bCs/>
          <w:color w:val="4D3B63"/>
          <w:kern w:val="0"/>
          <w:sz w:val="26"/>
          <w:szCs w:val="26"/>
        </w:rPr>
        <w:t xml:space="preserve">«Контрактная система в сфере закупок товаров, работ и услуг для обеспечения государственных и муниципальных нужд» </w:t>
      </w:r>
    </w:p>
    <w:p w:rsidR="00273A62" w:rsidRPr="0040183B" w:rsidRDefault="00273A62" w:rsidP="00273A62">
      <w:pPr>
        <w:widowControl/>
        <w:suppressAutoHyphens w:val="0"/>
        <w:autoSpaceDE w:val="0"/>
        <w:adjustRightInd w:val="0"/>
        <w:jc w:val="center"/>
        <w:textAlignment w:val="auto"/>
        <w:rPr>
          <w:rFonts w:eastAsia="TimesNewRoman,Bold" w:cs="Times New Roman"/>
          <w:b/>
          <w:bCs/>
          <w:color w:val="4D3B63"/>
          <w:kern w:val="0"/>
          <w:sz w:val="26"/>
          <w:szCs w:val="26"/>
        </w:rPr>
      </w:pPr>
      <w:r w:rsidRPr="0040183B">
        <w:rPr>
          <w:rFonts w:eastAsia="TimesNewRoman,Bold" w:cs="Times New Roman"/>
          <w:b/>
          <w:bCs/>
          <w:color w:val="4D3B63"/>
          <w:kern w:val="0"/>
          <w:sz w:val="26"/>
          <w:szCs w:val="26"/>
        </w:rPr>
        <w:t xml:space="preserve">(108 академических часов) </w:t>
      </w:r>
    </w:p>
    <w:p w:rsidR="00273A62" w:rsidRPr="00273A62" w:rsidRDefault="00273A62" w:rsidP="00273A62">
      <w:pPr>
        <w:widowControl/>
        <w:suppressAutoHyphens w:val="0"/>
        <w:autoSpaceDN/>
        <w:jc w:val="both"/>
        <w:textAlignment w:val="auto"/>
        <w:rPr>
          <w:rFonts w:eastAsia="Times New Roman" w:cs="Times New Roman"/>
          <w:b/>
          <w:kern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640"/>
      </w:tblGrid>
      <w:tr w:rsidR="00273A62" w:rsidRPr="00273A62" w:rsidTr="00273A62">
        <w:tc>
          <w:tcPr>
            <w:tcW w:w="1548" w:type="dxa"/>
            <w:vMerge w:val="restart"/>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10.00-12.30</w:t>
            </w:r>
          </w:p>
        </w:tc>
        <w:tc>
          <w:tcPr>
            <w:tcW w:w="8640"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 xml:space="preserve">Правовое регулирование контрактной системы. Основные понятия, цели, задачи, принципы контрактной системы. </w:t>
            </w:r>
            <w:r w:rsidRPr="00273A62">
              <w:rPr>
                <w:rFonts w:eastAsia="TimesNewRoman" w:cs="Times New Roman"/>
                <w:color w:val="000000"/>
                <w:kern w:val="0"/>
                <w:sz w:val="23"/>
                <w:szCs w:val="23"/>
              </w:rPr>
              <w:t xml:space="preserve">Региональное законодательство в сфере закупок. Совместные аукционы. Централизованные закупки. </w:t>
            </w:r>
          </w:p>
        </w:tc>
      </w:tr>
      <w:tr w:rsidR="00273A62" w:rsidRPr="00273A62" w:rsidTr="00273A62">
        <w:tc>
          <w:tcPr>
            <w:tcW w:w="1548" w:type="dxa"/>
            <w:vMerge/>
          </w:tcPr>
          <w:p w:rsidR="00273A62" w:rsidRPr="00273A62" w:rsidRDefault="00273A62" w:rsidP="00273A62">
            <w:pPr>
              <w:widowControl/>
              <w:suppressAutoHyphens w:val="0"/>
              <w:autoSpaceDN/>
              <w:jc w:val="both"/>
              <w:textAlignment w:val="auto"/>
              <w:rPr>
                <w:rFonts w:eastAsia="Times New Roman" w:cs="Times New Roman"/>
                <w:kern w:val="0"/>
                <w:sz w:val="23"/>
                <w:szCs w:val="23"/>
              </w:rPr>
            </w:pPr>
          </w:p>
        </w:tc>
        <w:tc>
          <w:tcPr>
            <w:tcW w:w="8640"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Информационное обеспечение контрактной системы в сфере закупок.</w:t>
            </w:r>
          </w:p>
        </w:tc>
      </w:tr>
      <w:tr w:rsidR="00273A62" w:rsidRPr="00273A62" w:rsidTr="00273A62">
        <w:tc>
          <w:tcPr>
            <w:tcW w:w="1548" w:type="dxa"/>
            <w:vMerge/>
          </w:tcPr>
          <w:p w:rsidR="00273A62" w:rsidRPr="00273A62" w:rsidRDefault="00273A62" w:rsidP="00273A62">
            <w:pPr>
              <w:widowControl/>
              <w:suppressAutoHyphens w:val="0"/>
              <w:autoSpaceDN/>
              <w:jc w:val="both"/>
              <w:textAlignment w:val="auto"/>
              <w:rPr>
                <w:rFonts w:eastAsia="Times New Roman" w:cs="Times New Roman"/>
                <w:kern w:val="0"/>
                <w:sz w:val="23"/>
                <w:szCs w:val="23"/>
              </w:rPr>
            </w:pPr>
          </w:p>
        </w:tc>
        <w:tc>
          <w:tcPr>
            <w:tcW w:w="8640"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NewRoman" w:cs="Times New Roman"/>
                <w:color w:val="000000"/>
                <w:kern w:val="0"/>
                <w:sz w:val="23"/>
                <w:szCs w:val="23"/>
              </w:rPr>
              <w:t>Контрактная служба заказчика. Профстандарты в сфере закупок. Комиссии по осуществлению закупок.</w:t>
            </w:r>
          </w:p>
        </w:tc>
      </w:tr>
      <w:tr w:rsidR="00273A62" w:rsidRPr="00273A62" w:rsidTr="00273A62">
        <w:tc>
          <w:tcPr>
            <w:tcW w:w="1548" w:type="dxa"/>
            <w:vMerge w:val="restart"/>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13.00-16.00</w:t>
            </w:r>
          </w:p>
        </w:tc>
        <w:tc>
          <w:tcPr>
            <w:tcW w:w="8640" w:type="dxa"/>
          </w:tcPr>
          <w:p w:rsidR="00273A62" w:rsidRPr="00273A62" w:rsidRDefault="00273A62" w:rsidP="00273A62">
            <w:pPr>
              <w:widowControl/>
              <w:suppressAutoHyphens w:val="0"/>
              <w:autoSpaceDN/>
              <w:jc w:val="both"/>
              <w:textAlignment w:val="auto"/>
              <w:rPr>
                <w:rFonts w:eastAsia="TimesNewRoman" w:cs="Times New Roman"/>
                <w:color w:val="000000"/>
                <w:kern w:val="0"/>
                <w:sz w:val="23"/>
                <w:szCs w:val="23"/>
              </w:rPr>
            </w:pPr>
            <w:r w:rsidRPr="00273A62">
              <w:rPr>
                <w:rFonts w:eastAsia="Times New Roman" w:cs="Times New Roman"/>
                <w:kern w:val="0"/>
                <w:sz w:val="23"/>
                <w:szCs w:val="23"/>
              </w:rPr>
              <w:t>Участники контрактной системы: требования. Преференции и ограничения. Требования к участникам закупок. Национальный режим.</w:t>
            </w:r>
            <w:r w:rsidRPr="00273A62">
              <w:rPr>
                <w:rFonts w:eastAsia="TimesNewRoman" w:cs="Times New Roman"/>
                <w:color w:val="000000"/>
                <w:kern w:val="0"/>
                <w:sz w:val="23"/>
                <w:szCs w:val="23"/>
              </w:rPr>
              <w:t xml:space="preserve"> </w:t>
            </w:r>
          </w:p>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NewRoman" w:cs="Times New Roman"/>
                <w:color w:val="000000"/>
                <w:kern w:val="0"/>
                <w:sz w:val="23"/>
                <w:szCs w:val="23"/>
              </w:rPr>
              <w:t>Реестр недобросовестных поставщиков.</w:t>
            </w:r>
          </w:p>
        </w:tc>
      </w:tr>
      <w:tr w:rsidR="00273A62" w:rsidRPr="00273A62" w:rsidTr="00273A62">
        <w:tc>
          <w:tcPr>
            <w:tcW w:w="1548" w:type="dxa"/>
            <w:vMerge/>
          </w:tcPr>
          <w:p w:rsidR="00273A62" w:rsidRPr="00273A62" w:rsidRDefault="00273A62" w:rsidP="00273A62">
            <w:pPr>
              <w:widowControl/>
              <w:suppressAutoHyphens w:val="0"/>
              <w:autoSpaceDN/>
              <w:jc w:val="both"/>
              <w:textAlignment w:val="auto"/>
              <w:rPr>
                <w:rFonts w:eastAsia="Times New Roman" w:cs="Times New Roman"/>
                <w:kern w:val="0"/>
                <w:sz w:val="23"/>
                <w:szCs w:val="23"/>
              </w:rPr>
            </w:pPr>
          </w:p>
        </w:tc>
        <w:tc>
          <w:tcPr>
            <w:tcW w:w="8640"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Планирование и обоснование закупок. Нормирование в сфере закупок.</w:t>
            </w:r>
          </w:p>
        </w:tc>
      </w:tr>
      <w:tr w:rsidR="00273A62" w:rsidRPr="00273A62" w:rsidTr="00273A62">
        <w:tc>
          <w:tcPr>
            <w:tcW w:w="1548" w:type="dxa"/>
            <w:vMerge/>
          </w:tcPr>
          <w:p w:rsidR="00273A62" w:rsidRPr="00273A62" w:rsidRDefault="00273A62" w:rsidP="00273A62">
            <w:pPr>
              <w:widowControl/>
              <w:suppressAutoHyphens w:val="0"/>
              <w:autoSpaceDN/>
              <w:jc w:val="both"/>
              <w:textAlignment w:val="auto"/>
              <w:rPr>
                <w:rFonts w:eastAsia="Times New Roman" w:cs="Times New Roman"/>
                <w:kern w:val="0"/>
                <w:sz w:val="23"/>
                <w:szCs w:val="23"/>
              </w:rPr>
            </w:pPr>
          </w:p>
        </w:tc>
        <w:tc>
          <w:tcPr>
            <w:tcW w:w="8640"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 xml:space="preserve">Обоснование начальных (максимальных) цен контракта. </w:t>
            </w:r>
          </w:p>
        </w:tc>
      </w:tr>
      <w:tr w:rsidR="00273A62" w:rsidRPr="00273A62" w:rsidTr="00273A62">
        <w:tc>
          <w:tcPr>
            <w:tcW w:w="1548" w:type="dxa"/>
            <w:vMerge/>
          </w:tcPr>
          <w:p w:rsidR="00273A62" w:rsidRPr="00273A62" w:rsidRDefault="00273A62" w:rsidP="00273A62">
            <w:pPr>
              <w:widowControl/>
              <w:suppressAutoHyphens w:val="0"/>
              <w:autoSpaceDN/>
              <w:jc w:val="both"/>
              <w:textAlignment w:val="auto"/>
              <w:rPr>
                <w:rFonts w:eastAsia="Times New Roman" w:cs="Times New Roman"/>
                <w:kern w:val="0"/>
                <w:sz w:val="23"/>
                <w:szCs w:val="23"/>
              </w:rPr>
            </w:pPr>
          </w:p>
        </w:tc>
        <w:tc>
          <w:tcPr>
            <w:tcW w:w="8640"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Осуществление закупок. Финансовое обеспечение закупок.</w:t>
            </w:r>
          </w:p>
        </w:tc>
      </w:tr>
    </w:tbl>
    <w:p w:rsidR="00273A62" w:rsidRPr="00273A62" w:rsidRDefault="00273A62" w:rsidP="00273A62">
      <w:pPr>
        <w:widowControl/>
        <w:suppressAutoHyphens w:val="0"/>
        <w:autoSpaceDN/>
        <w:jc w:val="both"/>
        <w:textAlignment w:val="auto"/>
        <w:rPr>
          <w:rFonts w:eastAsia="TimesNewRoman" w:cs="Times New Roman"/>
          <w:color w:val="000000"/>
          <w:kern w:val="0"/>
          <w:sz w:val="23"/>
          <w:szCs w:val="23"/>
        </w:rPr>
      </w:pPr>
    </w:p>
    <w:p w:rsidR="00273A62" w:rsidRPr="00273A62" w:rsidRDefault="00273A62" w:rsidP="00273A62">
      <w:pPr>
        <w:widowControl/>
        <w:suppressAutoHyphens w:val="0"/>
        <w:autoSpaceDN/>
        <w:jc w:val="both"/>
        <w:textAlignment w:val="auto"/>
        <w:rPr>
          <w:rFonts w:eastAsia="TimesNewRoman" w:cs="Times New Roman"/>
          <w:b/>
          <w:color w:val="800000"/>
          <w:kern w:val="0"/>
          <w:sz w:val="23"/>
          <w:szCs w:val="23"/>
          <w:u w:val="single"/>
        </w:rPr>
      </w:pPr>
      <w:r w:rsidRPr="00273A62">
        <w:rPr>
          <w:rFonts w:eastAsia="TimesNewRoman" w:cs="Times New Roman"/>
          <w:b/>
          <w:color w:val="800000"/>
          <w:kern w:val="0"/>
          <w:sz w:val="23"/>
          <w:szCs w:val="23"/>
          <w:u w:val="single"/>
        </w:rPr>
        <w:t>2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640"/>
      </w:tblGrid>
      <w:tr w:rsidR="00273A62" w:rsidRPr="00273A62" w:rsidTr="00273A62">
        <w:tc>
          <w:tcPr>
            <w:tcW w:w="1548" w:type="dxa"/>
            <w:vMerge w:val="restart"/>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10.00-12.30</w:t>
            </w:r>
          </w:p>
        </w:tc>
        <w:tc>
          <w:tcPr>
            <w:tcW w:w="8640"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Способы осуществления закупок: открытый конкурс, конкурс с ограниченным участием, двухэтапный конкурс. Порядок оценки заявок на участие в открытом конкурсе.</w:t>
            </w:r>
          </w:p>
        </w:tc>
      </w:tr>
      <w:tr w:rsidR="00273A62" w:rsidRPr="00273A62" w:rsidTr="00273A62">
        <w:tc>
          <w:tcPr>
            <w:tcW w:w="1548" w:type="dxa"/>
            <w:vMerge/>
          </w:tcPr>
          <w:p w:rsidR="00273A62" w:rsidRPr="00273A62" w:rsidRDefault="00273A62" w:rsidP="00273A62">
            <w:pPr>
              <w:widowControl/>
              <w:suppressAutoHyphens w:val="0"/>
              <w:autoSpaceDN/>
              <w:jc w:val="both"/>
              <w:textAlignment w:val="auto"/>
              <w:rPr>
                <w:rFonts w:eastAsia="Times New Roman" w:cs="Times New Roman"/>
                <w:kern w:val="0"/>
                <w:sz w:val="23"/>
                <w:szCs w:val="23"/>
              </w:rPr>
            </w:pPr>
          </w:p>
        </w:tc>
        <w:tc>
          <w:tcPr>
            <w:tcW w:w="8640"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Правила описания объекта закупки. Порядок составления технического задания</w:t>
            </w:r>
          </w:p>
        </w:tc>
      </w:tr>
      <w:tr w:rsidR="00273A62" w:rsidRPr="00273A62" w:rsidTr="00273A62">
        <w:tc>
          <w:tcPr>
            <w:tcW w:w="1548" w:type="dxa"/>
            <w:vMerge w:val="restart"/>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13.00-16.00</w:t>
            </w:r>
          </w:p>
        </w:tc>
        <w:tc>
          <w:tcPr>
            <w:tcW w:w="8640"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NewRoman" w:cs="Times New Roman"/>
                <w:color w:val="000000"/>
                <w:kern w:val="0"/>
                <w:sz w:val="23"/>
                <w:szCs w:val="23"/>
              </w:rPr>
              <w:t>Электронный аукцион: алгоритм от А до Я. Особенности документооборота при проведении электронного аукциона. Этапы проведения электронного аукциона. Извещение о проведении электронного аукциона. Отмена определения поставщика. Порядок предоставления разъяснений аукционной документации и внесение в нее изменений. Аккредитация на электронной площадке. Порядок подачи заявок на участие в электронном аукционе. Требования к участникам закупки. Порядок определения победителя. Порядок рассмотрения первых частей заявок. Порядок проведения электронного аукциона. Порядок рассмотрения вторых частей заявок. Заключение контракта по результатам электронного аукциона. Порядок заключения контракта. Уклонение от заключения контракта. Причины и последствия признания электронного аукциона несостоявшимся.</w:t>
            </w:r>
          </w:p>
        </w:tc>
      </w:tr>
      <w:tr w:rsidR="00273A62" w:rsidRPr="00273A62" w:rsidTr="00273A62">
        <w:tc>
          <w:tcPr>
            <w:tcW w:w="1548" w:type="dxa"/>
            <w:vMerge/>
          </w:tcPr>
          <w:p w:rsidR="00273A62" w:rsidRPr="00273A62" w:rsidRDefault="00273A62" w:rsidP="00273A62">
            <w:pPr>
              <w:widowControl/>
              <w:suppressAutoHyphens w:val="0"/>
              <w:autoSpaceDN/>
              <w:jc w:val="both"/>
              <w:textAlignment w:val="auto"/>
              <w:rPr>
                <w:rFonts w:eastAsia="Times New Roman" w:cs="Times New Roman"/>
                <w:kern w:val="0"/>
                <w:sz w:val="23"/>
                <w:szCs w:val="23"/>
              </w:rPr>
            </w:pPr>
          </w:p>
        </w:tc>
        <w:tc>
          <w:tcPr>
            <w:tcW w:w="8640" w:type="dxa"/>
          </w:tcPr>
          <w:p w:rsidR="00273A62" w:rsidRPr="00273A62" w:rsidRDefault="00273A62" w:rsidP="00273A62">
            <w:pPr>
              <w:widowControl/>
              <w:suppressAutoHyphens w:val="0"/>
              <w:autoSpaceDN/>
              <w:jc w:val="both"/>
              <w:textAlignment w:val="auto"/>
              <w:rPr>
                <w:rFonts w:eastAsia="TimesNewRoman" w:cs="Times New Roman"/>
                <w:color w:val="000000"/>
                <w:kern w:val="0"/>
                <w:sz w:val="23"/>
                <w:szCs w:val="23"/>
              </w:rPr>
            </w:pPr>
            <w:r w:rsidRPr="00273A62">
              <w:rPr>
                <w:rFonts w:eastAsia="Times New Roman" w:cs="Times New Roman"/>
                <w:kern w:val="0"/>
                <w:sz w:val="23"/>
                <w:szCs w:val="23"/>
              </w:rPr>
              <w:t>Способы осуществления закупок: запрос котировок, запрос предложений</w:t>
            </w:r>
          </w:p>
        </w:tc>
      </w:tr>
      <w:tr w:rsidR="00273A62" w:rsidRPr="00273A62" w:rsidTr="00273A62">
        <w:tc>
          <w:tcPr>
            <w:tcW w:w="1548" w:type="dxa"/>
            <w:vMerge/>
          </w:tcPr>
          <w:p w:rsidR="00273A62" w:rsidRPr="00273A62" w:rsidRDefault="00273A62" w:rsidP="00273A62">
            <w:pPr>
              <w:widowControl/>
              <w:suppressAutoHyphens w:val="0"/>
              <w:autoSpaceDN/>
              <w:jc w:val="both"/>
              <w:textAlignment w:val="auto"/>
              <w:rPr>
                <w:rFonts w:eastAsia="Times New Roman" w:cs="Times New Roman"/>
                <w:kern w:val="0"/>
                <w:sz w:val="23"/>
                <w:szCs w:val="23"/>
              </w:rPr>
            </w:pPr>
          </w:p>
        </w:tc>
        <w:tc>
          <w:tcPr>
            <w:tcW w:w="8640" w:type="dxa"/>
          </w:tcPr>
          <w:p w:rsidR="00273A62" w:rsidRPr="00273A62" w:rsidRDefault="00273A62" w:rsidP="00273A62">
            <w:pPr>
              <w:widowControl/>
              <w:suppressAutoHyphens w:val="0"/>
              <w:autoSpaceDN/>
              <w:jc w:val="both"/>
              <w:textAlignment w:val="auto"/>
              <w:rPr>
                <w:rFonts w:eastAsia="Times New Roman" w:cs="Times New Roman"/>
                <w:i/>
                <w:kern w:val="0"/>
                <w:sz w:val="23"/>
                <w:szCs w:val="23"/>
              </w:rPr>
            </w:pPr>
            <w:r w:rsidRPr="00273A62">
              <w:rPr>
                <w:rFonts w:eastAsia="Times New Roman" w:cs="Times New Roman"/>
                <w:kern w:val="0"/>
                <w:sz w:val="23"/>
                <w:szCs w:val="23"/>
              </w:rPr>
              <w:t>Способы осуществления закупок: закупка у единственного поставщика.</w:t>
            </w:r>
          </w:p>
        </w:tc>
      </w:tr>
    </w:tbl>
    <w:p w:rsidR="00273A62" w:rsidRPr="00273A62" w:rsidRDefault="00273A62" w:rsidP="00273A62">
      <w:pPr>
        <w:widowControl/>
        <w:suppressAutoHyphens w:val="0"/>
        <w:autoSpaceDN/>
        <w:jc w:val="both"/>
        <w:textAlignment w:val="auto"/>
        <w:rPr>
          <w:rFonts w:eastAsia="Times New Roman" w:cs="Times New Roman"/>
          <w:b/>
          <w:color w:val="800000"/>
          <w:kern w:val="0"/>
          <w:sz w:val="23"/>
          <w:szCs w:val="23"/>
          <w:u w:val="single"/>
        </w:rPr>
      </w:pPr>
      <w:r w:rsidRPr="00273A62">
        <w:rPr>
          <w:rFonts w:eastAsia="Times New Roman" w:cs="Times New Roman"/>
          <w:b/>
          <w:color w:val="800000"/>
          <w:kern w:val="0"/>
          <w:sz w:val="23"/>
          <w:szCs w:val="23"/>
          <w:u w:val="single"/>
        </w:rPr>
        <w:t>3 день</w:t>
      </w:r>
    </w:p>
    <w:p w:rsidR="00273A62" w:rsidRPr="00273A62" w:rsidRDefault="00273A62" w:rsidP="00273A62">
      <w:pPr>
        <w:widowControl/>
        <w:suppressAutoHyphens w:val="0"/>
        <w:autoSpaceDN/>
        <w:jc w:val="both"/>
        <w:textAlignment w:val="auto"/>
        <w:rPr>
          <w:rFonts w:eastAsia="Times New Roman" w:cs="Times New Roman"/>
          <w:kern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66"/>
      </w:tblGrid>
      <w:tr w:rsidR="00273A62" w:rsidRPr="00273A62" w:rsidTr="00273A62">
        <w:tc>
          <w:tcPr>
            <w:tcW w:w="1526" w:type="dxa"/>
            <w:vMerge w:val="restart"/>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10.00-12.30</w:t>
            </w:r>
          </w:p>
        </w:tc>
        <w:tc>
          <w:tcPr>
            <w:tcW w:w="8666"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Государственный (муниципальный) контракт: заключение, исполнение, изменение, расторжение</w:t>
            </w:r>
          </w:p>
        </w:tc>
      </w:tr>
      <w:tr w:rsidR="00273A62" w:rsidRPr="00273A62" w:rsidTr="00273A62">
        <w:tc>
          <w:tcPr>
            <w:tcW w:w="1526" w:type="dxa"/>
            <w:vMerge/>
          </w:tcPr>
          <w:p w:rsidR="00273A62" w:rsidRPr="00273A62" w:rsidRDefault="00273A62" w:rsidP="00273A62">
            <w:pPr>
              <w:widowControl/>
              <w:suppressAutoHyphens w:val="0"/>
              <w:autoSpaceDN/>
              <w:jc w:val="both"/>
              <w:textAlignment w:val="auto"/>
              <w:rPr>
                <w:rFonts w:eastAsia="Times New Roman" w:cs="Times New Roman"/>
                <w:kern w:val="0"/>
                <w:sz w:val="23"/>
                <w:szCs w:val="23"/>
              </w:rPr>
            </w:pPr>
          </w:p>
        </w:tc>
        <w:tc>
          <w:tcPr>
            <w:tcW w:w="8666"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Экспертиза в госзаказе: внешняя и внутренняя. Особенности проведения экспертизы.</w:t>
            </w:r>
          </w:p>
        </w:tc>
      </w:tr>
      <w:tr w:rsidR="00273A62" w:rsidRPr="00273A62" w:rsidTr="00273A62">
        <w:tc>
          <w:tcPr>
            <w:tcW w:w="1526" w:type="dxa"/>
            <w:vMerge w:val="restart"/>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13.00-16.00</w:t>
            </w:r>
          </w:p>
        </w:tc>
        <w:tc>
          <w:tcPr>
            <w:tcW w:w="8666"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Защита прав и интересов участников закупок. Порядок обжалования действий (бездействия) заказчика, уполномоченного органа, специализированной организации, комиссии, должностного лица контрактной службы заказчика, оператора ЭТП по осуществлению закупок.</w:t>
            </w:r>
          </w:p>
        </w:tc>
      </w:tr>
      <w:tr w:rsidR="00273A62" w:rsidRPr="00273A62" w:rsidTr="00273A62">
        <w:tc>
          <w:tcPr>
            <w:tcW w:w="1526" w:type="dxa"/>
            <w:vMerge/>
          </w:tcPr>
          <w:p w:rsidR="00273A62" w:rsidRPr="00273A62" w:rsidRDefault="00273A62" w:rsidP="00273A62">
            <w:pPr>
              <w:widowControl/>
              <w:suppressAutoHyphens w:val="0"/>
              <w:autoSpaceDN/>
              <w:jc w:val="both"/>
              <w:textAlignment w:val="auto"/>
              <w:rPr>
                <w:rFonts w:eastAsia="Times New Roman" w:cs="Times New Roman"/>
                <w:kern w:val="0"/>
                <w:sz w:val="23"/>
                <w:szCs w:val="23"/>
              </w:rPr>
            </w:pPr>
          </w:p>
        </w:tc>
        <w:tc>
          <w:tcPr>
            <w:tcW w:w="8666"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 Обзор административной и арбитражной практики.</w:t>
            </w:r>
          </w:p>
        </w:tc>
      </w:tr>
      <w:tr w:rsidR="00273A62" w:rsidRPr="00273A62" w:rsidTr="00273A62">
        <w:tc>
          <w:tcPr>
            <w:tcW w:w="1526" w:type="dxa"/>
            <w:vMerge/>
          </w:tcPr>
          <w:p w:rsidR="00273A62" w:rsidRPr="00273A62" w:rsidRDefault="00273A62" w:rsidP="00273A62">
            <w:pPr>
              <w:widowControl/>
              <w:suppressAutoHyphens w:val="0"/>
              <w:autoSpaceDN/>
              <w:jc w:val="both"/>
              <w:textAlignment w:val="auto"/>
              <w:rPr>
                <w:rFonts w:eastAsia="Times New Roman" w:cs="Times New Roman"/>
                <w:kern w:val="0"/>
                <w:sz w:val="23"/>
                <w:szCs w:val="23"/>
              </w:rPr>
            </w:pPr>
          </w:p>
        </w:tc>
        <w:tc>
          <w:tcPr>
            <w:tcW w:w="8666" w:type="dxa"/>
          </w:tcPr>
          <w:p w:rsidR="00273A62" w:rsidRPr="00273A62" w:rsidRDefault="00273A62" w:rsidP="00273A62">
            <w:pPr>
              <w:widowControl/>
              <w:suppressAutoHyphens w:val="0"/>
              <w:autoSpaceDN/>
              <w:jc w:val="both"/>
              <w:textAlignment w:val="auto"/>
              <w:rPr>
                <w:rFonts w:eastAsia="Times New Roman" w:cs="Times New Roman"/>
                <w:kern w:val="0"/>
                <w:sz w:val="23"/>
                <w:szCs w:val="23"/>
              </w:rPr>
            </w:pPr>
            <w:r w:rsidRPr="00273A62">
              <w:rPr>
                <w:rFonts w:eastAsia="Times New Roman" w:cs="Times New Roman"/>
                <w:kern w:val="0"/>
                <w:sz w:val="23"/>
                <w:szCs w:val="23"/>
              </w:rPr>
              <w:t>Особенности применения Федерального закона № 223-ФЗ от 18.07.2011 г. «О закупках товаров, работ и услуг для отдельных видов юридических лиц».</w:t>
            </w:r>
          </w:p>
        </w:tc>
      </w:tr>
    </w:tbl>
    <w:p w:rsidR="00273A62" w:rsidRPr="00273A62" w:rsidRDefault="00273A62" w:rsidP="00273A62">
      <w:pPr>
        <w:widowControl/>
        <w:suppressAutoHyphens w:val="0"/>
        <w:autoSpaceDN/>
        <w:ind w:left="720"/>
        <w:jc w:val="both"/>
        <w:textAlignment w:val="auto"/>
        <w:rPr>
          <w:rFonts w:ascii="Calibri" w:eastAsia="Calibri" w:hAnsi="Calibri" w:cs="Times New Roman"/>
          <w:kern w:val="0"/>
          <w:sz w:val="26"/>
          <w:szCs w:val="26"/>
          <w:lang w:eastAsia="en-US"/>
        </w:rPr>
      </w:pPr>
    </w:p>
    <w:p w:rsidR="00273A62" w:rsidRPr="00273A62" w:rsidRDefault="00273A62" w:rsidP="00273A62">
      <w:pPr>
        <w:widowControl/>
        <w:suppressAutoHyphens w:val="0"/>
        <w:autoSpaceDN/>
        <w:ind w:left="720"/>
        <w:jc w:val="both"/>
        <w:textAlignment w:val="auto"/>
        <w:rPr>
          <w:rFonts w:ascii="Calibri" w:eastAsia="Calibri" w:hAnsi="Calibri" w:cs="Times New Roman"/>
          <w:kern w:val="0"/>
          <w:sz w:val="26"/>
          <w:szCs w:val="26"/>
          <w:lang w:eastAsia="en-US"/>
        </w:rPr>
      </w:pPr>
      <w:bookmarkStart w:id="0" w:name="_GoBack"/>
      <w:bookmarkEnd w:id="0"/>
    </w:p>
    <w:sectPr w:rsidR="00273A62" w:rsidRPr="00273A62">
      <w:pgSz w:w="11906" w:h="16838"/>
      <w:pgMar w:top="993" w:right="566"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62" w:rsidRDefault="00273A62">
      <w:r>
        <w:separator/>
      </w:r>
    </w:p>
  </w:endnote>
  <w:endnote w:type="continuationSeparator" w:id="0">
    <w:p w:rsidR="00273A62" w:rsidRDefault="0027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62" w:rsidRDefault="00273A62">
      <w:r>
        <w:rPr>
          <w:color w:val="000000"/>
        </w:rPr>
        <w:separator/>
      </w:r>
    </w:p>
  </w:footnote>
  <w:footnote w:type="continuationSeparator" w:id="0">
    <w:p w:rsidR="00273A62" w:rsidRDefault="00273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61CA5"/>
    <w:multiLevelType w:val="multilevel"/>
    <w:tmpl w:val="33A46DC0"/>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7208728A"/>
    <w:multiLevelType w:val="multilevel"/>
    <w:tmpl w:val="CEBEEF9A"/>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66436"/>
    <w:rsid w:val="00024060"/>
    <w:rsid w:val="000616FF"/>
    <w:rsid w:val="00176E24"/>
    <w:rsid w:val="00230F5C"/>
    <w:rsid w:val="00266436"/>
    <w:rsid w:val="00273A62"/>
    <w:rsid w:val="003445CC"/>
    <w:rsid w:val="00394E91"/>
    <w:rsid w:val="003A62AB"/>
    <w:rsid w:val="0040183B"/>
    <w:rsid w:val="0064231B"/>
    <w:rsid w:val="006C782A"/>
    <w:rsid w:val="006F26E1"/>
    <w:rsid w:val="008C17EF"/>
    <w:rsid w:val="00B377F0"/>
    <w:rsid w:val="00B65F89"/>
    <w:rsid w:val="00B949E3"/>
    <w:rsid w:val="00BB30B3"/>
    <w:rsid w:val="00BB3D5A"/>
    <w:rsid w:val="00BD66A1"/>
    <w:rsid w:val="00D043EE"/>
    <w:rsid w:val="00D16F00"/>
    <w:rsid w:val="00F17544"/>
    <w:rsid w:val="00FB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C52A1-4CF2-4B33-9E9A-37C5CAA2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4">
    <w:name w:val="heading 4"/>
    <w:basedOn w:val="a"/>
    <w:next w:val="a"/>
    <w:link w:val="40"/>
    <w:uiPriority w:val="9"/>
    <w:semiHidden/>
    <w:unhideWhenUsed/>
    <w:qFormat/>
    <w:rsid w:val="000616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sz w:val="22"/>
      <w:szCs w:val="22"/>
    </w:rPr>
  </w:style>
  <w:style w:type="paragraph" w:styleId="a3">
    <w:name w:val="Title"/>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line="240" w:lineRule="auto"/>
    </w:pPr>
    <w:rPr>
      <w:rFonts w:ascii="Times New Roman" w:eastAsia="Times New Roman" w:hAnsi="Times New Roman" w:cs="Times New Roman"/>
      <w:sz w:val="24"/>
      <w:szCs w:val="24"/>
    </w:rPr>
  </w:style>
  <w:style w:type="paragraph" w:styleId="a4">
    <w:name w:val="Subtitle"/>
    <w:basedOn w:val="a3"/>
    <w:next w:val="Textbody"/>
    <w:pPr>
      <w:jc w:val="center"/>
    </w:pPr>
    <w:rPr>
      <w:i/>
      <w:iCs/>
    </w:rPr>
  </w:style>
  <w:style w:type="paragraph" w:styleId="a5">
    <w:name w:val="List"/>
    <w:basedOn w:val="Textbody"/>
    <w:rPr>
      <w:rFonts w:cs="Tahoma"/>
    </w:rPr>
  </w:style>
  <w:style w:type="paragraph" w:styleId="a6">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a7">
    <w:name w:val="List Paragraph"/>
    <w:basedOn w:val="Standard"/>
    <w:pPr>
      <w:ind w:left="720"/>
      <w:jc w:val="center"/>
    </w:pPr>
    <w:rPr>
      <w:rFonts w:eastAsia="Times New Roman"/>
      <w:b/>
      <w:sz w:val="32"/>
      <w:szCs w:val="32"/>
    </w:rPr>
  </w:style>
  <w:style w:type="paragraph" w:styleId="a8">
    <w:name w:val="No Spacing"/>
    <w:pPr>
      <w:widowControl/>
      <w:suppressAutoHyphens/>
      <w:jc w:val="center"/>
    </w:pPr>
    <w:rPr>
      <w:rFonts w:ascii="Calibri" w:eastAsia="Times New Roman" w:hAnsi="Calibri" w:cs="Calibri"/>
      <w:b/>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styleId="a9">
    <w:name w:val="Emphasis"/>
    <w:basedOn w:val="a0"/>
    <w:rPr>
      <w:i/>
      <w:iCs/>
    </w:rPr>
  </w:style>
  <w:style w:type="character" w:customStyle="1" w:styleId="StrongEmphasis">
    <w:name w:val="Strong Emphasis"/>
    <w:basedOn w:val="a0"/>
    <w:rPr>
      <w:b/>
      <w:bCs/>
    </w:rPr>
  </w:style>
  <w:style w:type="character" w:customStyle="1" w:styleId="Internetlink">
    <w:name w:val="Internet link"/>
    <w:basedOn w:val="a0"/>
    <w:rPr>
      <w:color w:val="0000FF"/>
      <w:u w:val="single"/>
    </w:rPr>
  </w:style>
  <w:style w:type="character" w:customStyle="1" w:styleId="aa">
    <w:name w:val="Основной текст Знак"/>
    <w:basedOn w:val="a0"/>
    <w:rPr>
      <w:rFonts w:ascii="Times New Roman" w:eastAsia="Times New Roman" w:hAnsi="Times New Roman" w:cs="Times New Roman"/>
      <w:sz w:val="24"/>
      <w:szCs w:val="24"/>
    </w:rPr>
  </w:style>
  <w:style w:type="paragraph" w:styleId="ab">
    <w:name w:val="Balloon Text"/>
    <w:basedOn w:val="a"/>
    <w:rPr>
      <w:rFonts w:ascii="Tahoma" w:hAnsi="Tahoma"/>
      <w:sz w:val="16"/>
      <w:szCs w:val="16"/>
    </w:rPr>
  </w:style>
  <w:style w:type="character" w:customStyle="1" w:styleId="ac">
    <w:name w:val="Текст выноски Знак"/>
    <w:basedOn w:val="a0"/>
    <w:rPr>
      <w:rFonts w:ascii="Tahoma" w:hAnsi="Tahoma"/>
      <w:sz w:val="16"/>
      <w:szCs w:val="16"/>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character" w:customStyle="1" w:styleId="40">
    <w:name w:val="Заголовок 4 Знак"/>
    <w:basedOn w:val="a0"/>
    <w:link w:val="4"/>
    <w:uiPriority w:val="9"/>
    <w:rsid w:val="000616FF"/>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27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462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Тульский ЦСМ</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cp:lastModifiedBy>
  <cp:revision>5</cp:revision>
  <cp:lastPrinted>2016-10-04T13:06:00Z</cp:lastPrinted>
  <dcterms:created xsi:type="dcterms:W3CDTF">2017-03-24T06:19:00Z</dcterms:created>
  <dcterms:modified xsi:type="dcterms:W3CDTF">2017-03-31T09:36:00Z</dcterms:modified>
</cp:coreProperties>
</file>